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5C22970D" w:rsidR="00645883" w:rsidRPr="00645883" w:rsidRDefault="007C799B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4FB2E073" w:rsidR="00645883" w:rsidRPr="00645883" w:rsidRDefault="007C799B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130/707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49889DB" w:rsidR="009F7C53" w:rsidRPr="008A378A" w:rsidRDefault="00F769ED" w:rsidP="008A378A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8A378A">
        <w:rPr>
          <w:b/>
          <w:sz w:val="28"/>
        </w:rPr>
        <w:t>2</w:t>
      </w:r>
    </w:p>
    <w:bookmarkEnd w:id="3"/>
    <w:p w14:paraId="6D97287C" w14:textId="1482D2A3" w:rsidR="00645883" w:rsidRDefault="008A378A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Бакланова Надежда  Ивановна</w:t>
      </w:r>
    </w:p>
    <w:p w14:paraId="319FC1F0" w14:textId="77777777" w:rsidR="007C799B" w:rsidRPr="00645883" w:rsidRDefault="007C799B">
      <w:pPr>
        <w:spacing w:line="276" w:lineRule="auto"/>
        <w:jc w:val="center"/>
        <w:rPr>
          <w:b/>
          <w:sz w:val="28"/>
        </w:rPr>
      </w:pPr>
    </w:p>
    <w:p w14:paraId="042BE104" w14:textId="553D2E48" w:rsidR="009F7C53" w:rsidRPr="008A378A" w:rsidRDefault="00F769ED" w:rsidP="00B54A17">
      <w:pPr>
        <w:pStyle w:val="3"/>
        <w:spacing w:line="276" w:lineRule="auto"/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8A378A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</w:t>
      </w:r>
      <w:r w:rsidR="008A378A">
        <w:t>датному избирательному округу  № 2 Баклановой Надежды Ивановны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5CB0472B" w:rsidR="009F7C53" w:rsidRDefault="00F769ED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8A378A">
        <w:t xml:space="preserve"> </w:t>
      </w:r>
      <w:r w:rsidR="00F638A4">
        <w:t>№</w:t>
      </w:r>
      <w:r w:rsidR="008A378A">
        <w:t xml:space="preserve"> 2 Бакланову Надежду Ивановну</w:t>
      </w:r>
      <w:r w:rsidR="007C799B">
        <w:t>,</w:t>
      </w:r>
      <w:r w:rsidR="008A378A">
        <w:t xml:space="preserve"> 12.03 1960 </w:t>
      </w:r>
      <w:r w:rsidR="00F638A4">
        <w:t xml:space="preserve">года рождения, </w:t>
      </w:r>
      <w:r w:rsidR="008A378A">
        <w:t>выдвинутую</w:t>
      </w:r>
      <w:r>
        <w:t xml:space="preserve"> </w:t>
      </w:r>
      <w:r w:rsidR="00F638A4" w:rsidRPr="00F638A4">
        <w:lastRenderedPageBreak/>
        <w:t>избирательным объединением «</w:t>
      </w:r>
      <w:r w:rsidR="008A378A">
        <w:t>Региональным отделением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7C799B">
        <w:t>01</w:t>
      </w:r>
      <w:r>
        <w:t xml:space="preserve">» </w:t>
      </w:r>
      <w:r w:rsidR="007C799B">
        <w:t xml:space="preserve">августа </w:t>
      </w:r>
      <w:r>
        <w:t>20</w:t>
      </w:r>
      <w:r w:rsidR="00F638A4">
        <w:t>25</w:t>
      </w:r>
      <w:r>
        <w:t xml:space="preserve"> года   в   </w:t>
      </w:r>
      <w:r w:rsidR="007C799B">
        <w:t>14</w:t>
      </w:r>
      <w:r>
        <w:rPr>
          <w:rFonts w:ascii="Times New Roman CYR" w:hAnsi="Times New Roman CYR"/>
        </w:rPr>
        <w:t xml:space="preserve"> часов </w:t>
      </w:r>
      <w:r w:rsidR="007C799B">
        <w:rPr>
          <w:rFonts w:ascii="Times New Roman CYR" w:hAnsi="Times New Roman CYR"/>
        </w:rPr>
        <w:t>03</w:t>
      </w:r>
      <w:r>
        <w:rPr>
          <w:rFonts w:ascii="Times New Roman CYR" w:hAnsi="Times New Roman CYR"/>
        </w:rPr>
        <w:t xml:space="preserve"> минут</w:t>
      </w:r>
      <w:r w:rsidR="007C799B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0F0D87C7" w:rsidR="009F7C53" w:rsidRDefault="00F769ED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A378A">
        <w:rPr>
          <w:sz w:val="28"/>
        </w:rPr>
        <w:t>Баклановой Надежде Ивановне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F769ED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F769ED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75E5F" w14:textId="77777777" w:rsidR="00F72EC3" w:rsidRDefault="00F72EC3">
      <w:r>
        <w:separator/>
      </w:r>
    </w:p>
  </w:endnote>
  <w:endnote w:type="continuationSeparator" w:id="0">
    <w:p w14:paraId="79415FDA" w14:textId="77777777" w:rsidR="00F72EC3" w:rsidRDefault="00F7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4F2C5" w14:textId="77777777" w:rsidR="00F72EC3" w:rsidRDefault="00F72EC3">
      <w:r>
        <w:separator/>
      </w:r>
    </w:p>
  </w:footnote>
  <w:footnote w:type="continuationSeparator" w:id="0">
    <w:p w14:paraId="179B074D" w14:textId="77777777" w:rsidR="00F72EC3" w:rsidRDefault="00F72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F769E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78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51514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705F7"/>
    <w:rsid w:val="00645883"/>
    <w:rsid w:val="00687AEF"/>
    <w:rsid w:val="006901CC"/>
    <w:rsid w:val="0069282F"/>
    <w:rsid w:val="006D1379"/>
    <w:rsid w:val="00701A57"/>
    <w:rsid w:val="007924D7"/>
    <w:rsid w:val="00797046"/>
    <w:rsid w:val="007C799B"/>
    <w:rsid w:val="00802E6D"/>
    <w:rsid w:val="008259ED"/>
    <w:rsid w:val="008439EF"/>
    <w:rsid w:val="00862307"/>
    <w:rsid w:val="00866028"/>
    <w:rsid w:val="008A378A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72EC3"/>
    <w:rsid w:val="00F769ED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69D656F1-9DC4-4028-8FB4-06502703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E83F2-5316-412F-9FB0-9A71AF44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2025-08-02T11:56:00Z</cp:lastPrinted>
  <dcterms:created xsi:type="dcterms:W3CDTF">2025-07-27T11:01:00Z</dcterms:created>
  <dcterms:modified xsi:type="dcterms:W3CDTF">2025-08-02T11:56:00Z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